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Look w:val="04A0" w:firstRow="1" w:lastRow="0" w:firstColumn="1" w:lastColumn="0" w:noHBand="0" w:noVBand="1"/>
      </w:tblPr>
      <w:tblGrid>
        <w:gridCol w:w="4127"/>
        <w:gridCol w:w="1058"/>
        <w:gridCol w:w="5171"/>
      </w:tblGrid>
      <w:tr w:rsidR="00F662CF" w14:paraId="080764E6" w14:textId="77777777">
        <w:trPr>
          <w:trHeight w:hRule="exact" w:val="785"/>
        </w:trPr>
        <w:tc>
          <w:tcPr>
            <w:tcW w:w="4127" w:type="dxa"/>
          </w:tcPr>
          <w:p w14:paraId="12F688B8" w14:textId="77777777" w:rsidR="00F662CF" w:rsidRDefault="00F662CF">
            <w:pPr>
              <w:jc w:val="right"/>
            </w:pPr>
          </w:p>
        </w:tc>
        <w:tc>
          <w:tcPr>
            <w:tcW w:w="1058" w:type="dxa"/>
          </w:tcPr>
          <w:p w14:paraId="16E7C480" w14:textId="77777777" w:rsidR="00F662CF" w:rsidRDefault="007A5D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477721" wp14:editId="1AB2021D">
                  <wp:extent cx="466725" cy="517525"/>
                  <wp:effectExtent l="19050" t="0" r="9525" b="0"/>
                  <wp:docPr id="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1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</w:tcPr>
          <w:p w14:paraId="546A2B2E" w14:textId="77777777" w:rsidR="00F662CF" w:rsidRDefault="00F662CF">
            <w:pPr>
              <w:ind w:firstLine="53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62CF" w14:paraId="5EADDBF9" w14:textId="77777777">
        <w:trPr>
          <w:trHeight w:hRule="exact" w:val="1685"/>
        </w:trPr>
        <w:tc>
          <w:tcPr>
            <w:tcW w:w="10356" w:type="dxa"/>
            <w:gridSpan w:val="3"/>
          </w:tcPr>
          <w:p w14:paraId="1EB66F39" w14:textId="77777777" w:rsidR="00F662CF" w:rsidRDefault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СОЮЗ РАБОТНИКОВ НАРОДНОГО ОБРАЗОВАНИЯ И НАУКИ</w:t>
            </w:r>
          </w:p>
          <w:p w14:paraId="57D5A2DD" w14:textId="77777777" w:rsidR="00F662CF" w:rsidRDefault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cr/>
              <w:t xml:space="preserve"> (ОБЩЕРОССИЙСКИЙ ПРОФСОЮЗ ОБРАЗОВАНИЯ)</w:t>
            </w:r>
          </w:p>
          <w:p w14:paraId="39D5EB3A" w14:textId="77777777" w:rsidR="00F662CF" w:rsidRDefault="007A5DB2">
            <w:pPr>
              <w:jc w:val="center"/>
            </w:pPr>
            <w:r>
              <w:rPr>
                <w:b/>
                <w:sz w:val="28"/>
                <w:szCs w:val="28"/>
              </w:rPr>
              <w:t>КИРОВСКАЯ РАЙОННАЯ ОРГАНИЗАЦИЯ ОБЩЕРОССИЙСКОГО ПРОФСОЮЗА ОБРАЗОВАНИЯ</w:t>
            </w:r>
          </w:p>
        </w:tc>
      </w:tr>
    </w:tbl>
    <w:p w14:paraId="4EDCB95F" w14:textId="77777777" w:rsidR="00F662CF" w:rsidRDefault="00F662CF">
      <w:pPr>
        <w:pStyle w:val="af"/>
        <w:ind w:right="283"/>
        <w:jc w:val="center"/>
        <w:rPr>
          <w:b/>
          <w:sz w:val="24"/>
          <w:szCs w:val="24"/>
        </w:rPr>
      </w:pPr>
    </w:p>
    <w:p w14:paraId="04C04A28" w14:textId="77777777" w:rsidR="00F662CF" w:rsidRDefault="007A5DB2">
      <w:pPr>
        <w:pStyle w:val="af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Обзор значимых изменений в </w:t>
      </w:r>
      <w:r>
        <w:rPr>
          <w:b/>
          <w:sz w:val="24"/>
          <w:szCs w:val="24"/>
        </w:rPr>
        <w:t>законодательстве</w:t>
      </w:r>
    </w:p>
    <w:p w14:paraId="5FE98F6F" w14:textId="77777777" w:rsidR="00F662CF" w:rsidRDefault="00F662CF">
      <w:pPr>
        <w:pStyle w:val="af"/>
        <w:ind w:right="283"/>
        <w:jc w:val="center"/>
        <w:rPr>
          <w:b/>
          <w:sz w:val="24"/>
          <w:szCs w:val="24"/>
        </w:rPr>
      </w:pPr>
    </w:p>
    <w:p w14:paraId="42431E40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Ключевая ставка</w:t>
      </w:r>
    </w:p>
    <w:p w14:paraId="23EC4A21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>С 13 сентября ключевую ставку увеличивают на 6,75%.</w:t>
      </w:r>
    </w:p>
    <w:p w14:paraId="3AE49567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"Вестник Банка России", N 64, 15.09.2021</w:t>
      </w:r>
    </w:p>
    <w:p w14:paraId="6E4459D8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7" w:history="1">
        <w:r>
          <w:rPr>
            <w:rStyle w:val="pt-a3-000041"/>
            <w:u w:val="single"/>
          </w:rPr>
          <w:t>Информация Банка России от 10.09.2021</w:t>
        </w:r>
      </w:hyperlink>
    </w:p>
    <w:p w14:paraId="4F37B3F8" w14:textId="77777777" w:rsidR="007A5DB2" w:rsidRDefault="007A5DB2" w:rsidP="007A5DB2">
      <w:pPr>
        <w:pStyle w:val="pt-a-000037"/>
        <w:spacing w:before="0" w:beforeAutospacing="0" w:after="0" w:afterAutospacing="0" w:line="302" w:lineRule="atLeast"/>
        <w:jc w:val="both"/>
        <w:rPr>
          <w:rStyle w:val="pt-a0-000038"/>
          <w:rFonts w:ascii="Marta" w:hAnsi="Marta"/>
          <w:b/>
          <w:bCs/>
        </w:rPr>
      </w:pPr>
    </w:p>
    <w:p w14:paraId="27001EB7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Пушкинская карта</w:t>
      </w:r>
    </w:p>
    <w:p w14:paraId="4AA7225B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>Установлен порядок реализации программы "Пушкинская карта" для граждан РФ в возрасте от 14 до 22 лет включительно в целях повышения доступности посещения мероприятий, проводимых организациями культуры.</w:t>
      </w:r>
    </w:p>
    <w:p w14:paraId="08DDC8AA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Официальный интернет-портал правовой информации http://pravo.gov.ru, 09.09.2021, "Собрание законодательства РФ", 13.09.2021, N 37, ст. 6541</w:t>
      </w:r>
    </w:p>
    <w:p w14:paraId="3F67DFCC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8" w:history="1">
        <w:r>
          <w:rPr>
            <w:rStyle w:val="pt-a3-000041"/>
            <w:u w:val="single"/>
          </w:rPr>
          <w:t>Постановление Правительства РФ от 08.09.2021 N 1521</w:t>
        </w:r>
      </w:hyperlink>
    </w:p>
    <w:p w14:paraId="0F017E3D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rFonts w:ascii="Marta" w:hAnsi="Marta"/>
          <w:b/>
          <w:bCs/>
        </w:rPr>
      </w:pPr>
    </w:p>
    <w:p w14:paraId="47549791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Расчет больничных</w:t>
      </w:r>
    </w:p>
    <w:p w14:paraId="1347725D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 xml:space="preserve">С 1 января 2022 вступит в силу новый порядок исчисления пособий по больничным листкам. </w:t>
      </w:r>
      <w:r>
        <w:rPr>
          <w:sz w:val="22"/>
          <w:szCs w:val="22"/>
        </w:rPr>
        <w:t>Положением уточняются, в частности: порядок определения среднего заработка застрахованного лица при исчислении пособий, в том числе для лиц, добровольно вступивших в правоотношения по обязательному социальному страхованию, порядок расчета пособия в случае, если застрахованное лицо на момент наступления страхового случая занято у нескольких страхователей; порядок расчета минимального размера пособия за полный календарный месяц исходя из МРОТ, а в районах и местностях, в которых в установленном порядке применяются районные коэффициенты к заработной плате, - МРОТ, с учетом этих коэффициентов; С принятием нового порядка утратит силу постановление Правительства РФ от 15 июня 2007 г. N 375.</w:t>
      </w:r>
    </w:p>
    <w:p w14:paraId="36FB27B6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Официальный интернет-портал правовой информации http://pravo.gov.ru, 15.09.2021</w:t>
      </w:r>
    </w:p>
    <w:p w14:paraId="5C2F475C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9" w:history="1">
        <w:r>
          <w:rPr>
            <w:rStyle w:val="pt-a3-000041"/>
            <w:u w:val="single"/>
          </w:rPr>
          <w:t>Постановление Правительства РФ от 11.09.2021 N 1540</w:t>
        </w:r>
      </w:hyperlink>
    </w:p>
    <w:p w14:paraId="1CD170E3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rFonts w:ascii="Marta" w:hAnsi="Marta"/>
          <w:b/>
          <w:bCs/>
          <w:sz w:val="28"/>
          <w:szCs w:val="28"/>
        </w:rPr>
      </w:pPr>
    </w:p>
    <w:p w14:paraId="29E46D7D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Финансовое обеспечение предупредительных мер по сокращению травматизма и профзаболеваний осуществляется по новым правилам</w:t>
      </w:r>
    </w:p>
    <w:p w14:paraId="3B4910A7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  <w:rPr>
          <w:rStyle w:val="pt-a0-000041"/>
        </w:rPr>
      </w:pPr>
      <w:r>
        <w:rPr>
          <w:rStyle w:val="pt-a0-000041"/>
        </w:rPr>
        <w:t>Теперь 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суммы, согласованной с территориальным органом Фонда на эти цели, но не более суммы, рассчитанной в установленном порядке. Также, в частности, предусмотрено расширение перечня предупредительным мер (включены мониторинг состояния здоровья работника на рабочем месте, проведение мер по профилактике COVID-19), а также актуализирован перечень документов, обосновывающих, необходимость финансового обеспечения предупредительных мер. Установлено так, что в 2021 году страхователь обращается с заявлением о финансовом обеспечении предупредительных мер в территориальный орган ФСС в срок до 1 октября 2021 года.</w:t>
      </w:r>
    </w:p>
    <w:p w14:paraId="7D10B201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Официальный интернет-портал правовой информации http://pravo.gov.ru, 08.09.2021</w:t>
      </w:r>
    </w:p>
    <w:p w14:paraId="0489BA51" w14:textId="66D67D1D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</w:pPr>
      <w:hyperlink r:id="rId10" w:history="1">
        <w:r>
          <w:rPr>
            <w:rStyle w:val="pt-a3-000039"/>
            <w:u w:val="single"/>
          </w:rPr>
          <w:t>Приказ Минтруда России от 14.07.2021 N 467н</w:t>
        </w:r>
      </w:hyperlink>
    </w:p>
    <w:p w14:paraId="16FD8CD6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sz w:val="22"/>
          <w:szCs w:val="22"/>
        </w:rPr>
      </w:pPr>
      <w:r>
        <w:rPr>
          <w:rStyle w:val="pt-a0-000037"/>
          <w:b/>
          <w:bCs/>
          <w:sz w:val="22"/>
          <w:szCs w:val="22"/>
        </w:rPr>
        <w:t>Как отдыхаем в 2022 году: утвердили график переноса выходных</w:t>
      </w:r>
    </w:p>
    <w:p w14:paraId="1810B381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sz w:val="22"/>
          <w:szCs w:val="22"/>
        </w:rPr>
      </w:pPr>
      <w:r>
        <w:rPr>
          <w:rStyle w:val="pt-a0-000039"/>
          <w:sz w:val="22"/>
          <w:szCs w:val="22"/>
        </w:rPr>
        <w:t>В 2022 году нас ждут 6 праздничных периодов. Дольше всего отдохнем в новогодние праздники - с 1 по 9 января. Вместе с ранее перенесенным выходным на 31 декабря 2021 года каникулы продлятся 10 дней. По 4 нерабочих дня подряд выпадут на периоды с 30 апреля по 3 мая и с 7 по 10 мая. По 3 дня будем отдыхать: с 6 по 8 марта; с 11 по 13 июня; с 4 по 6 ноября.</w:t>
      </w:r>
    </w:p>
    <w:p w14:paraId="53C31376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В днях отдыха 2022 года помогут разобраться производственные календари для 5-дневной и 6-дневной рабочих недель.</w:t>
      </w:r>
    </w:p>
    <w:p w14:paraId="7DCE6729" w14:textId="77777777" w:rsidR="007A5DB2" w:rsidRDefault="007A5DB2" w:rsidP="007A5DB2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lastRenderedPageBreak/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http://pravo.gov.ru, 17.09.2021, "Российская газета", N 215, 21.09.2021</w:t>
      </w:r>
    </w:p>
    <w:p w14:paraId="7258932B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  <w:rPr>
          <w:sz w:val="22"/>
          <w:szCs w:val="22"/>
        </w:rPr>
      </w:pPr>
      <w:hyperlink r:id="rId11" w:history="1">
        <w:r>
          <w:rPr>
            <w:rStyle w:val="pt-a3-000041"/>
            <w:sz w:val="22"/>
            <w:szCs w:val="22"/>
            <w:u w:val="single"/>
          </w:rPr>
          <w:t>Постановление Правительства РФ от 16.09.2021 N 1564</w:t>
        </w:r>
      </w:hyperlink>
    </w:p>
    <w:p w14:paraId="4B12BB73" w14:textId="77777777" w:rsidR="007A5DB2" w:rsidRDefault="007A5DB2" w:rsidP="007A5DB2">
      <w:pPr>
        <w:pStyle w:val="pt-a-000037"/>
        <w:spacing w:before="0" w:beforeAutospacing="0" w:after="0" w:afterAutospacing="0" w:line="302" w:lineRule="atLeast"/>
        <w:jc w:val="both"/>
        <w:rPr>
          <w:rStyle w:val="pt-a0-000038"/>
          <w:rFonts w:ascii="Marta" w:hAnsi="Marta"/>
          <w:b/>
          <w:bCs/>
        </w:rPr>
      </w:pPr>
    </w:p>
    <w:p w14:paraId="28AE1B19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  <w:sz w:val="22"/>
          <w:szCs w:val="22"/>
        </w:rPr>
        <w:t>Вундеркинды</w:t>
      </w:r>
    </w:p>
    <w:p w14:paraId="3A524C46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Актуализированы правила выявления детей, проявивших выдающиеся способности, и сопровождения их дальнейшего развития.</w:t>
      </w:r>
    </w:p>
    <w:p w14:paraId="0244EA22" w14:textId="77777777" w:rsidR="007A5DB2" w:rsidRDefault="007A5DB2" w:rsidP="007A5DB2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http://pravo.gov.ru, 22.09.2021</w:t>
      </w:r>
    </w:p>
    <w:p w14:paraId="28D6BF85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  <w:rPr>
          <w:sz w:val="22"/>
          <w:szCs w:val="22"/>
        </w:rPr>
      </w:pPr>
      <w:hyperlink r:id="rId12" w:history="1">
        <w:r>
          <w:rPr>
            <w:rStyle w:val="pt-a3-000041"/>
            <w:sz w:val="22"/>
            <w:szCs w:val="22"/>
            <w:u w:val="single"/>
          </w:rPr>
          <w:t>Постановление Правительства РФ от 18.09.2021 N 1573</w:t>
        </w:r>
      </w:hyperlink>
    </w:p>
    <w:p w14:paraId="517E0864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rFonts w:ascii="Marta" w:hAnsi="Marta"/>
          <w:b/>
          <w:bCs/>
        </w:rPr>
      </w:pPr>
    </w:p>
    <w:p w14:paraId="6B14C236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  <w:sz w:val="22"/>
          <w:szCs w:val="22"/>
        </w:rPr>
        <w:t>Второй иностранный</w:t>
      </w:r>
    </w:p>
    <w:p w14:paraId="166B8250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Второй иностранный язык в школах перестал быть обязательным учебным предметом.</w:t>
      </w:r>
    </w:p>
    <w:p w14:paraId="3572F1BB" w14:textId="77777777" w:rsidR="007A5DB2" w:rsidRDefault="007A5DB2" w:rsidP="007A5DB2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Документ опубликован не был</w:t>
      </w:r>
    </w:p>
    <w:p w14:paraId="15B07564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  <w:rPr>
          <w:sz w:val="22"/>
          <w:szCs w:val="22"/>
        </w:rPr>
      </w:pPr>
      <w:hyperlink r:id="rId13" w:history="1">
        <w:r>
          <w:rPr>
            <w:rStyle w:val="pt-a3-000041"/>
            <w:sz w:val="22"/>
            <w:szCs w:val="22"/>
            <w:u w:val="single"/>
          </w:rPr>
          <w:t xml:space="preserve">Письмо </w:t>
        </w:r>
        <w:proofErr w:type="spellStart"/>
        <w:r>
          <w:rPr>
            <w:rStyle w:val="pt-a3-000041"/>
            <w:sz w:val="22"/>
            <w:szCs w:val="22"/>
            <w:u w:val="single"/>
          </w:rPr>
          <w:t>Минпросвещения</w:t>
        </w:r>
        <w:proofErr w:type="spellEnd"/>
        <w:r>
          <w:rPr>
            <w:rStyle w:val="pt-a3-000041"/>
            <w:sz w:val="22"/>
            <w:szCs w:val="22"/>
            <w:u w:val="single"/>
          </w:rPr>
          <w:t xml:space="preserve"> России от 31.08.2021 N 03-1420</w:t>
        </w:r>
      </w:hyperlink>
    </w:p>
    <w:p w14:paraId="2D944ABB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rFonts w:ascii="Marta" w:hAnsi="Marta"/>
          <w:b/>
          <w:bCs/>
        </w:rPr>
      </w:pPr>
    </w:p>
    <w:p w14:paraId="2D03B3C3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  <w:sz w:val="22"/>
          <w:szCs w:val="22"/>
        </w:rPr>
        <w:t>Компенсацию за использование имущества дистанционного работника не облагают взносами</w:t>
      </w:r>
    </w:p>
    <w:p w14:paraId="021412CA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 xml:space="preserve">Если сотрудник на удаленке пользуется своим или арендованным оборудованием, программами, средствами защиты, ему положена компенсация. Ее не облагают взносами в размере, который указали в коллективном договоре, локальном нормативном акте, трудовом договоре или </w:t>
      </w:r>
      <w:proofErr w:type="spellStart"/>
      <w:r>
        <w:rPr>
          <w:rStyle w:val="pt-a0-000039"/>
          <w:sz w:val="22"/>
          <w:szCs w:val="22"/>
        </w:rPr>
        <w:t>допсоглашении</w:t>
      </w:r>
      <w:proofErr w:type="spellEnd"/>
      <w:r>
        <w:rPr>
          <w:rStyle w:val="pt-a0-000039"/>
          <w:sz w:val="22"/>
          <w:szCs w:val="22"/>
        </w:rPr>
        <w:t xml:space="preserve"> к нему. Минфин и раньше высказывал данное мнение. При этом он уточнял, что расходы нужно подтвердить документами. Так же считает и ФНС.</w:t>
      </w:r>
    </w:p>
    <w:p w14:paraId="572185C8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Документ опубликован не был</w:t>
      </w:r>
    </w:p>
    <w:p w14:paraId="3C161E8E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  <w:rPr>
          <w:sz w:val="22"/>
          <w:szCs w:val="22"/>
        </w:rPr>
      </w:pPr>
      <w:hyperlink r:id="rId14" w:history="1">
        <w:r>
          <w:rPr>
            <w:rStyle w:val="pt-a3-000041"/>
            <w:sz w:val="22"/>
            <w:szCs w:val="22"/>
            <w:u w:val="single"/>
          </w:rPr>
          <w:t>Письмо Минфина России от 09.07.2021 N 03-03-06/1/54895</w:t>
        </w:r>
      </w:hyperlink>
    </w:p>
    <w:p w14:paraId="379EF059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rFonts w:ascii="Marta" w:hAnsi="Marta"/>
          <w:b/>
          <w:bCs/>
        </w:rPr>
      </w:pPr>
    </w:p>
    <w:p w14:paraId="67775A1A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  <w:sz w:val="22"/>
          <w:szCs w:val="22"/>
        </w:rPr>
        <w:t>Утвержден перечень видов физкультурно-оздоровительных услуг для вычетов</w:t>
      </w:r>
    </w:p>
    <w:p w14:paraId="68C87421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Правительство утвердило перечень видов физкультурно-оздоровительных услуг, в отношении которых может быть получен налоговый вычет. В перечень вошли: физкультурно-оздоровительные услуги по физической подготовке и физическому развитию, услуги по обеспечению участия в физкультурных мероприятиях, включенных в календарные планы, а также услуги по разработке программ занятий физической культурой, соответствующих тренировочных планов.</w:t>
      </w:r>
    </w:p>
    <w:p w14:paraId="6D1C0A46" w14:textId="77777777" w:rsidR="007A5DB2" w:rsidRDefault="007A5DB2" w:rsidP="007A5DB2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http://pravo.gov.ru, 16.09.2021</w:t>
      </w:r>
    </w:p>
    <w:p w14:paraId="67C31C09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  <w:rPr>
          <w:sz w:val="22"/>
          <w:szCs w:val="22"/>
        </w:rPr>
      </w:pPr>
      <w:hyperlink r:id="rId15" w:history="1">
        <w:r>
          <w:rPr>
            <w:rStyle w:val="pt-a3-000041"/>
            <w:sz w:val="22"/>
            <w:szCs w:val="22"/>
            <w:u w:val="single"/>
          </w:rPr>
          <w:t>Распоряжение Правительства РФ от 06.09.2021 N 2466-р</w:t>
        </w:r>
      </w:hyperlink>
    </w:p>
    <w:p w14:paraId="3E389740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Долой контрольные!</w:t>
      </w:r>
    </w:p>
    <w:p w14:paraId="1C0F56E2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>Президент РФ поручил сократить количество контрольных и проверочных работ в общеобразовательных организациях.</w:t>
      </w:r>
    </w:p>
    <w:p w14:paraId="1384CD68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</w:pPr>
      <w:r>
        <w:rPr>
          <w:i/>
          <w:u w:val="single"/>
        </w:rPr>
        <w:t>Источник</w:t>
      </w:r>
      <w:r>
        <w:rPr>
          <w:i/>
        </w:rPr>
        <w:t>:</w:t>
      </w:r>
      <w:r>
        <w:rPr>
          <w:rFonts w:eastAsia="Calibri"/>
        </w:rPr>
        <w:t xml:space="preserve"> Документ опубликован не был</w:t>
      </w:r>
    </w:p>
    <w:p w14:paraId="68C8D630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16" w:history="1">
        <w:r>
          <w:rPr>
            <w:rStyle w:val="pt-a3-000041"/>
            <w:u w:val="single"/>
          </w:rPr>
          <w:t>(утв. Президентом РФ 24.09.2021)</w:t>
        </w:r>
      </w:hyperlink>
    </w:p>
    <w:p w14:paraId="7BCDCD3F" w14:textId="77777777" w:rsidR="007A5DB2" w:rsidRDefault="007A5DB2" w:rsidP="007A5DB2">
      <w:pPr>
        <w:pStyle w:val="pt-a-000037"/>
        <w:spacing w:before="0" w:beforeAutospacing="0" w:after="0" w:afterAutospacing="0" w:line="302" w:lineRule="atLeast"/>
        <w:jc w:val="both"/>
        <w:rPr>
          <w:rStyle w:val="pt-a0-000038"/>
          <w:rFonts w:ascii="Marta" w:hAnsi="Marta"/>
          <w:b/>
          <w:bCs/>
        </w:rPr>
      </w:pPr>
    </w:p>
    <w:p w14:paraId="2147D39D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Новый порядок удержаний</w:t>
      </w:r>
    </w:p>
    <w:p w14:paraId="5B8DECE6" w14:textId="77777777" w:rsidR="007A5DB2" w:rsidRDefault="007A5DB2" w:rsidP="007A5DB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Изменения касаются ситуации, когда исполнительный документ поступил не от взыскателя, а через службу судебных приставов. Удержания из зарплаты и иных периодических платежей организация обязана зачислить на депозит службы в трехдневный срок. В случаях, когда исполнительный лист направил сам взыскатель, изменений нет - удержанные суммы перечисляют напрямую ему.</w:t>
      </w:r>
    </w:p>
    <w:p w14:paraId="6EC61C9A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Официальный интернет-портал правовой информации http://pravo.gov.ru, 30.12.2020, "Собрание законодательства РФ", 04.01.2021, N 1 (часть I), ст. 34, "Парламентская газета", N 1с, 06.01.2021, "Российская газета", N 1, 11.01.2021</w:t>
      </w:r>
    </w:p>
    <w:p w14:paraId="4144331C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17" w:history="1">
        <w:r>
          <w:rPr>
            <w:rStyle w:val="pt-a3-000041"/>
            <w:u w:val="single"/>
          </w:rPr>
          <w:t>Федеральный закон от 30.12.2020 N 495-ФЗ</w:t>
        </w:r>
      </w:hyperlink>
    </w:p>
    <w:p w14:paraId="70699A0D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rFonts w:ascii="Marta" w:hAnsi="Marta"/>
          <w:b/>
          <w:bCs/>
        </w:rPr>
      </w:pPr>
    </w:p>
    <w:p w14:paraId="1E47DF9C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Расширили программу субсидирования найма</w:t>
      </w:r>
    </w:p>
    <w:p w14:paraId="465A12F4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>С 5 октября работодатели смогут рассчитывать на субсидию за трудоустройство россиян, которые зарегистрированы в центрах занятости как безработные по состоянию на 1 августа. Сейчас господдержка предусмотрена за прием на работу тех, кто встал на учет в этом качестве по состоянию на 1 января. Кроме того, стало больше категории граждан, за трудоустройство которых можно получить субсидию независимо от даты их регистрации в центрах занятости. К таким категориям отнесли не только выпускников колледжей и вузов 2020 года.</w:t>
      </w:r>
    </w:p>
    <w:p w14:paraId="0895E5B9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Официальный интернет-портал правовой информации http://pravo.gov.ru, 27.09.2021</w:t>
      </w:r>
    </w:p>
    <w:p w14:paraId="799A9DD4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18" w:history="1">
        <w:r>
          <w:rPr>
            <w:rStyle w:val="pt-a3-000041"/>
            <w:u w:val="single"/>
          </w:rPr>
          <w:t>Постановление Правительства РФ от 24.09.2021 N 1607</w:t>
        </w:r>
      </w:hyperlink>
    </w:p>
    <w:p w14:paraId="3BA5D3FD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b/>
          <w:bCs/>
        </w:rPr>
      </w:pPr>
    </w:p>
    <w:p w14:paraId="63C2620E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lastRenderedPageBreak/>
        <w:t>С 2022 года дополнительный отпуск при производственной травме станут оплачивать по новым правилам</w:t>
      </w:r>
    </w:p>
    <w:p w14:paraId="3338A86D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 xml:space="preserve">Правительство внесло изменения в правила оплаты </w:t>
      </w:r>
      <w:proofErr w:type="spellStart"/>
      <w:r>
        <w:rPr>
          <w:rStyle w:val="pt-a0-000039"/>
        </w:rPr>
        <w:t>допрасходов</w:t>
      </w:r>
      <w:proofErr w:type="spellEnd"/>
      <w:r>
        <w:rPr>
          <w:rStyle w:val="pt-a0-000039"/>
        </w:rPr>
        <w:t xml:space="preserve"> на реабилитацию застрахованных лиц, которые получили травму или профзаболевание. Новшества связаны с законодательным переходом на прямые выплаты всех регионов. Закрепили, что страхователь должен подать в ФСС сведения для оплаты не позднее чем за 2 недели до начала отпуска работника. Это информация из приказа об отпуске, способ получения застрахованным лицом оплаты и т.д. Форму сведений утвердит фонд. Ее можно будет направить как на бумаге, так и в электронном виде через информационную систему "Соцстрах". ФСС вручит страхователю извещение, если тот представит неполные сведения. Сделает это он в течение 5 рабочих дней с даты их получения. Недостающие сведения нужно подать в течение 5 рабочих дней с даты вручения извещения.</w:t>
      </w:r>
    </w:p>
    <w:p w14:paraId="1FA2224F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Официальный интернет-портал правовой информации http://pravo.gov.ru, 24.09.2021,</w:t>
      </w:r>
    </w:p>
    <w:p w14:paraId="2A0AF9D5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"Собрание законодательства РФ", 27.09.2021, N 39, ст. 6731</w:t>
      </w:r>
    </w:p>
    <w:p w14:paraId="4D8A9F0C" w14:textId="7243827C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</w:pPr>
      <w:hyperlink r:id="rId19" w:history="1">
        <w:r>
          <w:rPr>
            <w:rStyle w:val="pt-a3-000041"/>
            <w:u w:val="single"/>
          </w:rPr>
          <w:t>Постановление Правительства РФ от 21.09.2021 N 1584</w:t>
        </w:r>
      </w:hyperlink>
    </w:p>
    <w:p w14:paraId="5D99FAD1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Образование и Ковид</w:t>
      </w:r>
    </w:p>
    <w:p w14:paraId="7738015C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>В связи с угрозой распространения COVID-19 образовательным организациям даны рекомендации по осуществлению ими своей деятельности.</w:t>
      </w:r>
    </w:p>
    <w:p w14:paraId="3A9913AB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"Администратор образования", N 19, 2021</w:t>
      </w:r>
    </w:p>
    <w:p w14:paraId="1D945AAB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20" w:history="1">
        <w:r>
          <w:rPr>
            <w:rStyle w:val="pt-a3-000041"/>
            <w:u w:val="single"/>
          </w:rPr>
          <w:t xml:space="preserve">Письмо </w:t>
        </w:r>
        <w:proofErr w:type="spellStart"/>
        <w:r>
          <w:rPr>
            <w:rStyle w:val="pt-a3-000041"/>
            <w:u w:val="single"/>
          </w:rPr>
          <w:t>Минпросвещения</w:t>
        </w:r>
        <w:proofErr w:type="spellEnd"/>
        <w:r>
          <w:rPr>
            <w:rStyle w:val="pt-a3-000041"/>
            <w:u w:val="single"/>
          </w:rPr>
          <w:t xml:space="preserve"> России от 30.08.2021 N 08-1591</w:t>
        </w:r>
      </w:hyperlink>
    </w:p>
    <w:p w14:paraId="5F6719E7" w14:textId="77777777" w:rsidR="007A5DB2" w:rsidRDefault="007A5DB2" w:rsidP="007A5DB2">
      <w:pPr>
        <w:pStyle w:val="pt-a-000037"/>
        <w:spacing w:before="0" w:beforeAutospacing="0" w:after="0" w:afterAutospacing="0" w:line="302" w:lineRule="atLeast"/>
        <w:jc w:val="both"/>
        <w:rPr>
          <w:rStyle w:val="pt-a0-000038"/>
          <w:rFonts w:ascii="Marta" w:hAnsi="Marta"/>
          <w:b/>
          <w:bCs/>
        </w:rPr>
      </w:pPr>
    </w:p>
    <w:p w14:paraId="11598D36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Материалы о нацистских преступниках</w:t>
      </w:r>
    </w:p>
    <w:p w14:paraId="338AFF60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>Разъяснено, какие материалы научного, культурно-просветительского, образовательного характера об истории Великой Отечественной войны, Второй мировой войны не являются экстремистскими.</w:t>
      </w:r>
    </w:p>
    <w:p w14:paraId="7673C689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"Российская газета", N 228, 06.10.2021</w:t>
      </w:r>
    </w:p>
    <w:p w14:paraId="52946C9B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21" w:history="1">
        <w:r>
          <w:rPr>
            <w:rStyle w:val="pt-a3-000041"/>
            <w:u w:val="single"/>
          </w:rPr>
          <w:t>Рекомендации по применению норм Федерального закона от 1 июля 2021 г. N 280-ФЗ</w:t>
        </w:r>
      </w:hyperlink>
    </w:p>
    <w:p w14:paraId="23175372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rStyle w:val="pt-a0-000037"/>
          <w:rFonts w:ascii="Marta" w:hAnsi="Marta"/>
          <w:b/>
          <w:bCs/>
          <w:sz w:val="28"/>
          <w:szCs w:val="28"/>
        </w:rPr>
      </w:pPr>
    </w:p>
    <w:p w14:paraId="50E90DC9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 xml:space="preserve">Изменения в порядок регистрации ЮЛ </w:t>
      </w:r>
    </w:p>
    <w:p w14:paraId="17C2BBE7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>Актуализирована процедура государственной регистрации юридических лиц.</w:t>
      </w:r>
    </w:p>
    <w:p w14:paraId="24AF4544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Официальный интернет-портал правовой информации http://pravo.gov.ru, 04.10.2021</w:t>
      </w:r>
    </w:p>
    <w:p w14:paraId="73010BF4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22" w:history="1">
        <w:r>
          <w:rPr>
            <w:rStyle w:val="pt-a3-000041"/>
            <w:u w:val="single"/>
          </w:rPr>
          <w:t>Приказ ФНС России от 17.08.2021 N ЕД-7-14/756@</w:t>
        </w:r>
      </w:hyperlink>
    </w:p>
    <w:p w14:paraId="22F1C104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</w:pPr>
    </w:p>
    <w:p w14:paraId="32BD62E9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</w:p>
    <w:p w14:paraId="268841F0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center"/>
        <w:rPr>
          <w:rStyle w:val="pt-a0-000037"/>
          <w:b/>
          <w:bCs/>
        </w:rPr>
      </w:pPr>
      <w:r>
        <w:rPr>
          <w:rStyle w:val="pt-a0-000037"/>
          <w:b/>
          <w:bCs/>
        </w:rPr>
        <w:t>МЕСТНЫЕ ДОКУМЕНТЫ</w:t>
      </w:r>
    </w:p>
    <w:p w14:paraId="54565DFE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Прожиточный минимум</w:t>
      </w:r>
    </w:p>
    <w:p w14:paraId="1060AFE5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</w:pPr>
      <w:r>
        <w:rPr>
          <w:rStyle w:val="pt-a0-000039"/>
        </w:rPr>
        <w:t xml:space="preserve">Установлена величина прожиточного минимума в Свердловской области на 2022 год: </w:t>
      </w:r>
      <w:r>
        <w:rPr>
          <w:rFonts w:eastAsia="Calibri"/>
        </w:rPr>
        <w:t>в расчете на душу населения - 11592 рубля в месяц; для трудоспособного населения - 12635 рублей в месяц; для пенсионеров - 9969 рублей в месяц; для детей - 12146 рублей в месяц.</w:t>
      </w:r>
    </w:p>
    <w:p w14:paraId="0274B4C4" w14:textId="4830C9EC" w:rsidR="00F662CF" w:rsidRDefault="007A5DB2" w:rsidP="007A5DB2">
      <w:pPr>
        <w:pStyle w:val="af"/>
        <w:jc w:val="right"/>
      </w:pPr>
      <w:hyperlink r:id="rId23" w:history="1">
        <w:r>
          <w:rPr>
            <w:rStyle w:val="pt-a3-000041"/>
            <w:u w:val="single"/>
          </w:rPr>
          <w:t>Постановление Правительства Свердловской области от 08.09.2021 N 547-ПП</w:t>
        </w:r>
      </w:hyperlink>
    </w:p>
    <w:p w14:paraId="42ED2491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  <w:rPr>
          <w:sz w:val="22"/>
          <w:szCs w:val="22"/>
        </w:rPr>
      </w:pPr>
      <w:r>
        <w:rPr>
          <w:rStyle w:val="pt-a0-000037"/>
          <w:b/>
          <w:bCs/>
          <w:sz w:val="22"/>
          <w:szCs w:val="22"/>
        </w:rPr>
        <w:t>Доплата за классное руководство</w:t>
      </w:r>
    </w:p>
    <w:p w14:paraId="1EA0AF69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Определены порядок, размер и условия выплаты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Свердловской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здоровья. Денежное вознаграждение выплачивается ежемесячно в размере 5000 руб. педагогическим работникам, но не более двух выплат денежного вознаграждения одному педагогическому работнику при условии осуществления классного руководства (кураторства) в двух и более учебных группах.</w:t>
      </w:r>
    </w:p>
    <w:p w14:paraId="157615BB" w14:textId="77777777" w:rsidR="007A5DB2" w:rsidRDefault="007A5DB2" w:rsidP="007A5DB2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Свердловской области http://www.pravo.gov66.ru, 09.09.2021, Официальный интернет-портал правовой информации http://pravo.gov.ru, 15.09.2021</w:t>
      </w:r>
    </w:p>
    <w:p w14:paraId="6E2C5E74" w14:textId="7C4CF2E1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  <w:rPr>
          <w:sz w:val="22"/>
          <w:szCs w:val="22"/>
        </w:rPr>
      </w:pPr>
      <w:hyperlink r:id="rId24" w:history="1">
        <w:r>
          <w:rPr>
            <w:rStyle w:val="pt-a3-000041"/>
            <w:sz w:val="22"/>
            <w:szCs w:val="22"/>
            <w:u w:val="single"/>
          </w:rPr>
          <w:t>Постановление Правительства Свердловской области от 08.09.2021 N 567-ПП</w:t>
        </w:r>
      </w:hyperlink>
    </w:p>
    <w:p w14:paraId="7B5DF757" w14:textId="77777777" w:rsidR="007A5DB2" w:rsidRDefault="007A5DB2" w:rsidP="007A5DB2">
      <w:pPr>
        <w:pStyle w:val="pt-a-000036"/>
        <w:spacing w:before="0" w:beforeAutospacing="0" w:after="0" w:afterAutospacing="0" w:line="302" w:lineRule="atLeast"/>
        <w:jc w:val="both"/>
      </w:pPr>
      <w:r>
        <w:rPr>
          <w:rStyle w:val="pt-a0-000037"/>
          <w:b/>
          <w:bCs/>
        </w:rPr>
        <w:t>Вакцинация против COVID-19 отдельных категорий (групп) граждан</w:t>
      </w:r>
    </w:p>
    <w:p w14:paraId="5EE6B9CB" w14:textId="77777777" w:rsidR="007A5DB2" w:rsidRDefault="007A5DB2" w:rsidP="007A5DB2">
      <w:pPr>
        <w:pStyle w:val="pt-a-000038"/>
        <w:spacing w:before="0" w:beforeAutospacing="0" w:after="0" w:afterAutospacing="0" w:line="238" w:lineRule="atLeast"/>
        <w:jc w:val="both"/>
        <w:rPr>
          <w:rStyle w:val="pt-a0-000039"/>
        </w:rPr>
      </w:pPr>
      <w:r>
        <w:rPr>
          <w:rStyle w:val="pt-a0-000039"/>
        </w:rPr>
        <w:t xml:space="preserve">В целях усиления мероприятий по предупреждению заболевания новой коронавирусной инфекцией (COVID-19) населения Свердловской области предписано обеспечить с 05.10.2021 проведение профилактических прививок против новой коронавирусной инфекции (COVID-19) гражданам в возрасте от 18 лет и старше, подлежащим обязательной вакцинации по эпидемическим показаниям - выполняющим работы и (или) оказывающим услуги населению Свердловской области: в сфере образования; в сфере обслуживания (на объектах торговли, клиентских подразделений финансовых </w:t>
      </w:r>
      <w:r>
        <w:rPr>
          <w:rStyle w:val="pt-a0-000039"/>
        </w:rPr>
        <w:lastRenderedPageBreak/>
        <w:t>организаций, общественного питания; транспорта общего пользования, такси; в организациях, оказывающих услуги почтовой связи, гостиничные услуги, бытовые услуги, в том числе услуги парикмахерских, прачечных, химчисток и иные подобные услуги; в театрах, кинотеатрах, концертных залах, спортивных сооружениях, фитнес-центрах); государственным гражданским служащим, замещающим должности государственной гражданской службы, муниципальным служащим, замещающим должности муниципальной службы, работникам органов власти и местного самоуправления. Указанное предписание не распространяется на лиц, имеющих противопоказания к профилактической прививке против COVID-19.</w:t>
      </w:r>
    </w:p>
    <w:p w14:paraId="54727DE2" w14:textId="77777777" w:rsidR="007A5DB2" w:rsidRDefault="007A5DB2" w:rsidP="007A5D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Документ опубликован не был</w:t>
      </w:r>
    </w:p>
    <w:p w14:paraId="47541879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</w:pPr>
      <w:hyperlink r:id="rId25" w:history="1">
        <w:r>
          <w:rPr>
            <w:rStyle w:val="pt-a3-000041"/>
            <w:u w:val="single"/>
          </w:rPr>
          <w:t>Постановление Главного государственного санитарного врача по Свердловской области от 01.10.2021 N 05-24/1</w:t>
        </w:r>
      </w:hyperlink>
    </w:p>
    <w:p w14:paraId="2F0E8F36" w14:textId="77777777" w:rsidR="007A5DB2" w:rsidRDefault="007A5DB2" w:rsidP="007A5DB2">
      <w:pPr>
        <w:pStyle w:val="pt-a-000040"/>
        <w:spacing w:before="0" w:beforeAutospacing="0" w:after="0" w:afterAutospacing="0" w:line="238" w:lineRule="atLeast"/>
        <w:jc w:val="both"/>
        <w:rPr>
          <w:rFonts w:ascii="Helvetica_Light-Normal" w:hAnsi="Helvetica_Light-Normal"/>
          <w:sz w:val="22"/>
          <w:szCs w:val="22"/>
        </w:rPr>
      </w:pPr>
    </w:p>
    <w:p w14:paraId="12BF3E86" w14:textId="77777777" w:rsidR="007A5DB2" w:rsidRDefault="007A5DB2" w:rsidP="007A5DB2">
      <w:pPr>
        <w:pStyle w:val="af"/>
        <w:jc w:val="right"/>
        <w:rPr>
          <w:sz w:val="24"/>
          <w:szCs w:val="24"/>
        </w:rPr>
      </w:pPr>
    </w:p>
    <w:sectPr w:rsidR="007A5DB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ta">
    <w:altName w:val="Times New Roman"/>
    <w:charset w:val="00"/>
    <w:family w:val="roman"/>
    <w:pitch w:val="default"/>
  </w:font>
  <w:font w:name="Helvetica_Light-Normal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710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9EF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24F0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3B1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134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6CD5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437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86D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3C82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5DB2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8F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6D1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B78F3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023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2EE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ABD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2C5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2CF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1DB1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  <w:rsid w:val="0D9C3D7A"/>
    <w:rsid w:val="25C93210"/>
    <w:rsid w:val="5E8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D683"/>
  <w15:docId w15:val="{34B8A24B-86C2-46C1-9803-2F1A19F0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/>
      <w:sz w:val="16"/>
      <w:szCs w:val="16"/>
    </w:rPr>
  </w:style>
  <w:style w:type="paragraph" w:styleId="a9">
    <w:name w:val="Title"/>
    <w:basedOn w:val="a"/>
    <w:link w:val="aa"/>
    <w:qFormat/>
    <w:pPr>
      <w:widowControl w:val="0"/>
      <w:ind w:left="-709" w:right="-625" w:firstLine="709"/>
      <w:jc w:val="center"/>
    </w:pPr>
    <w:rPr>
      <w:sz w:val="24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Заголовок Знак"/>
    <w:link w:val="a9"/>
    <w:qFormat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qFormat/>
    <w:pPr>
      <w:ind w:firstLine="539"/>
    </w:pPr>
    <w:rPr>
      <w:color w:val="000000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pPr>
      <w:jc w:val="both"/>
    </w:pPr>
    <w:rPr>
      <w:rFonts w:eastAsia="Times New Roman"/>
    </w:rPr>
  </w:style>
  <w:style w:type="character" w:customStyle="1" w:styleId="tik-text">
    <w:name w:val="tik-text"/>
    <w:basedOn w:val="a0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qFormat/>
  </w:style>
  <w:style w:type="paragraph" w:customStyle="1" w:styleId="first">
    <w:name w:val="fir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ильное выделение1"/>
    <w:uiPriority w:val="99"/>
    <w:qFormat/>
    <w:rPr>
      <w:b/>
      <w:bCs/>
      <w:i/>
      <w:iCs/>
      <w:color w:val="auto"/>
    </w:rPr>
  </w:style>
  <w:style w:type="paragraph" w:customStyle="1" w:styleId="af0">
    <w:name w:val="Знак Знак Знак Знак Знак Знак Знак Знак Знак Знак Знак Знак Знак"/>
    <w:basedOn w:val="a"/>
    <w:uiPriority w:val="99"/>
    <w:qFormat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</w:style>
  <w:style w:type="character" w:customStyle="1" w:styleId="NastiaM">
    <w:name w:val="NastiaM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qFormat/>
    <w:rPr>
      <w:b/>
      <w:bCs/>
    </w:rPr>
  </w:style>
  <w:style w:type="character" w:customStyle="1" w:styleId="ac">
    <w:name w:val="Нижний колонтитул Знак"/>
    <w:link w:val="ab"/>
    <w:uiPriority w:val="99"/>
    <w:qFormat/>
    <w:rPr>
      <w:rFonts w:eastAsia="Times New Roman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qFormat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2">
    <w:name w:val="Цветовое выделение"/>
    <w:uiPriority w:val="99"/>
    <w:qFormat/>
    <w:rPr>
      <w:b/>
      <w:bCs/>
      <w:color w:val="26282F"/>
    </w:rPr>
  </w:style>
  <w:style w:type="character" w:customStyle="1" w:styleId="af3">
    <w:name w:val="Гипертекстовая ссылка"/>
    <w:uiPriority w:val="99"/>
    <w:qFormat/>
    <w:rPr>
      <w:color w:val="106BBE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4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qFormat/>
  </w:style>
  <w:style w:type="paragraph" w:customStyle="1" w:styleId="af5">
    <w:name w:val="Текст (справка)"/>
    <w:basedOn w:val="a"/>
    <w:next w:val="a"/>
    <w:uiPriority w:val="99"/>
    <w:qFormat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qFormat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6">
    <w:name w:val="List Paragraph"/>
    <w:basedOn w:val="a"/>
    <w:uiPriority w:val="34"/>
    <w:qFormat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qFormat/>
  </w:style>
  <w:style w:type="paragraph" w:customStyle="1" w:styleId="pt-a-000026">
    <w:name w:val="pt-a-000026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qFormat/>
  </w:style>
  <w:style w:type="paragraph" w:customStyle="1" w:styleId="pt-a-000028">
    <w:name w:val="pt-a-000028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qFormat/>
  </w:style>
  <w:style w:type="paragraph" w:customStyle="1" w:styleId="pt-a-000037">
    <w:name w:val="pt-a-000037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qFormat/>
  </w:style>
  <w:style w:type="paragraph" w:customStyle="1" w:styleId="pt-a-000039">
    <w:name w:val="pt-a-000039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qFormat/>
  </w:style>
  <w:style w:type="paragraph" w:customStyle="1" w:styleId="pt-a-000041">
    <w:name w:val="pt-a-000041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qFormat/>
  </w:style>
  <w:style w:type="paragraph" w:customStyle="1" w:styleId="pt-a-000036">
    <w:name w:val="pt-a-000036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qFormat/>
  </w:style>
  <w:style w:type="paragraph" w:customStyle="1" w:styleId="pt-a-000038">
    <w:name w:val="pt-a-000038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qFormat/>
  </w:style>
  <w:style w:type="paragraph" w:customStyle="1" w:styleId="pt-a-000040">
    <w:name w:val="pt-a-000040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qFormat/>
  </w:style>
  <w:style w:type="character" w:customStyle="1" w:styleId="pt-a0-000041">
    <w:name w:val="pt-a0-000041"/>
    <w:basedOn w:val="a0"/>
    <w:qFormat/>
  </w:style>
  <w:style w:type="character" w:customStyle="1" w:styleId="pt-a3-000039">
    <w:name w:val="pt-a3-000039"/>
    <w:basedOn w:val="a0"/>
    <w:qFormat/>
  </w:style>
  <w:style w:type="paragraph" w:customStyle="1" w:styleId="pt-a-000030">
    <w:name w:val="pt-a-000030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qFormat/>
  </w:style>
  <w:style w:type="paragraph" w:customStyle="1" w:styleId="pt-a-000032">
    <w:name w:val="pt-a-000032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qFormat/>
  </w:style>
  <w:style w:type="paragraph" w:customStyle="1" w:styleId="pt-a-000034">
    <w:name w:val="pt-a-000034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qFormat/>
  </w:style>
  <w:style w:type="paragraph" w:customStyle="1" w:styleId="pt-a-000025">
    <w:name w:val="pt-a-000025"/>
    <w:basedOn w:val="a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qFormat/>
  </w:style>
  <w:style w:type="character" w:customStyle="1" w:styleId="pt-a3-000040">
    <w:name w:val="pt-a3-000040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030&amp;dst=100001" TargetMode="External"/><Relationship Id="rId13" Type="http://schemas.openxmlformats.org/officeDocument/2006/relationships/hyperlink" Target="https://login.consultant.ru/link/?req=doc&amp;base=LAW&amp;n=395877&amp;dst=1000000003" TargetMode="External"/><Relationship Id="rId18" Type="http://schemas.openxmlformats.org/officeDocument/2006/relationships/hyperlink" Target="https://login.consultant.ru/link/?req=doc&amp;base=LAW&amp;n=396323&amp;dst=10000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6800&amp;dst=1000000007" TargetMode="External"/><Relationship Id="rId7" Type="http://schemas.openxmlformats.org/officeDocument/2006/relationships/hyperlink" Target="https://login.consultant.ru/link/?req=doc&amp;base=LAW&amp;n=395112&amp;dst=1000000003" TargetMode="External"/><Relationship Id="rId12" Type="http://schemas.openxmlformats.org/officeDocument/2006/relationships/hyperlink" Target="https://login.consultant.ru/link/?req=doc&amp;base=LAW&amp;n=395941&amp;dst=100002" TargetMode="External"/><Relationship Id="rId17" Type="http://schemas.openxmlformats.org/officeDocument/2006/relationships/hyperlink" Target="https://login.consultant.ru/link/?req=doc&amp;base=LAW&amp;n=372678&amp;dst=100004" TargetMode="External"/><Relationship Id="rId25" Type="http://schemas.openxmlformats.org/officeDocument/2006/relationships/hyperlink" Target="https://login.consultant.ru/link/?req=doc&amp;base=RLAW071&amp;n=313205&amp;dst=1000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396353&amp;dst=1000000004" TargetMode="External"/><Relationship Id="rId20" Type="http://schemas.openxmlformats.org/officeDocument/2006/relationships/hyperlink" Target="https://login.consultant.ru/link/?req=doc&amp;base=LAW&amp;n=397021&amp;dst=100000000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95538&amp;dst=1000000003" TargetMode="External"/><Relationship Id="rId24" Type="http://schemas.openxmlformats.org/officeDocument/2006/relationships/hyperlink" Target="https://login.consultant.ru/link/?req=doc&amp;base=RLAW071&amp;n=311867&amp;dst=1000000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5525&amp;dst=1000000003" TargetMode="External"/><Relationship Id="rId23" Type="http://schemas.openxmlformats.org/officeDocument/2006/relationships/hyperlink" Target="https://login.consultant.ru/link/?req=doc&amp;base=RLAW071&amp;n=311829&amp;dst=1000000003" TargetMode="External"/><Relationship Id="rId10" Type="http://schemas.openxmlformats.org/officeDocument/2006/relationships/hyperlink" Target="https://login.consultant.ru/link/?req=doc&amp;base=LAW&amp;n=394961&amp;dst=1000000002" TargetMode="External"/><Relationship Id="rId19" Type="http://schemas.openxmlformats.org/officeDocument/2006/relationships/hyperlink" Target="https://login.consultant.ru/link/?req=doc&amp;base=LAW&amp;n=396231&amp;dst=10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5389&amp;dst=1000000003" TargetMode="External"/><Relationship Id="rId14" Type="http://schemas.openxmlformats.org/officeDocument/2006/relationships/hyperlink" Target="https://login.consultant.ru/link/?req=doc&amp;base=QUEST&amp;n=206290&amp;dst=100002" TargetMode="External"/><Relationship Id="rId22" Type="http://schemas.openxmlformats.org/officeDocument/2006/relationships/hyperlink" Target="https://login.consultant.ru/link/?req=doc&amp;base=LAW&amp;n=396890&amp;dst=100000000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F0092B7-6C5F-4517-B236-1392CEB30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1970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 hp</cp:lastModifiedBy>
  <cp:revision>2</cp:revision>
  <cp:lastPrinted>2020-11-09T05:32:00Z</cp:lastPrinted>
  <dcterms:created xsi:type="dcterms:W3CDTF">2021-10-12T11:16:00Z</dcterms:created>
  <dcterms:modified xsi:type="dcterms:W3CDTF">2021-10-12T11:16:00Z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FB277D44B4C9460AAEBE2B40F2BDF2AE</vt:lpwstr>
  </property>
</Properties>
</file>